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9C" w:rsidRPr="00215D9C" w:rsidRDefault="00215D9C" w:rsidP="00215D9C">
      <w:pPr>
        <w:widowControl/>
        <w:shd w:val="clear" w:color="auto" w:fill="FDFDFD"/>
        <w:rPr>
          <w:rFonts w:ascii="微軟正黑體" w:eastAsia="微軟正黑體" w:hAnsi="微軟正黑體" w:cs="Times New Roman"/>
          <w:color w:val="000000"/>
          <w:kern w:val="0"/>
          <w:sz w:val="23"/>
          <w:szCs w:val="23"/>
        </w:rPr>
      </w:pPr>
      <w:r w:rsidRPr="00215D9C">
        <w:rPr>
          <w:rFonts w:ascii="微軟正黑體" w:eastAsia="微軟正黑體" w:hAnsi="微軟正黑體" w:cs="Times New Roman" w:hint="eastAsia"/>
          <w:b/>
          <w:bCs/>
          <w:color w:val="FF0000"/>
          <w:kern w:val="0"/>
          <w:sz w:val="27"/>
          <w:szCs w:val="27"/>
          <w:bdr w:val="none" w:sz="0" w:space="0" w:color="auto" w:frame="1"/>
          <w:shd w:val="clear" w:color="auto" w:fill="FFFF00"/>
        </w:rPr>
        <w:t>計算公式：</w:t>
      </w:r>
    </w:p>
    <w:p w:rsidR="00215D9C" w:rsidRPr="00215D9C" w:rsidRDefault="00215D9C" w:rsidP="00215D9C">
      <w:pPr>
        <w:widowControl/>
        <w:numPr>
          <w:ilvl w:val="0"/>
          <w:numId w:val="1"/>
        </w:numPr>
        <w:shd w:val="clear" w:color="auto" w:fill="FDFDFD"/>
        <w:spacing w:beforeAutospacing="1" w:afterAutospacing="1" w:line="405" w:lineRule="atLeast"/>
        <w:rPr>
          <w:rFonts w:ascii="微軟正黑體" w:eastAsia="微軟正黑體" w:hAnsi="微軟正黑體" w:cs="Times New Roman"/>
          <w:color w:val="000000"/>
          <w:kern w:val="0"/>
          <w:sz w:val="23"/>
          <w:szCs w:val="23"/>
        </w:rPr>
      </w:pPr>
      <w:r w:rsidRPr="00215D9C"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  <w:bdr w:val="none" w:sz="0" w:space="0" w:color="auto" w:frame="1"/>
        </w:rPr>
        <w:t>變壓器二次</w:t>
      </w:r>
      <w:proofErr w:type="gramStart"/>
      <w:r w:rsidRPr="00215D9C"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  <w:bdr w:val="none" w:sz="0" w:space="0" w:color="auto" w:frame="1"/>
        </w:rPr>
        <w:t>側功因</w:t>
      </w:r>
      <w:proofErr w:type="gramEnd"/>
      <w:r w:rsidRPr="00215D9C"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  <w:bdr w:val="none" w:sz="0" w:space="0" w:color="auto" w:frame="1"/>
        </w:rPr>
        <w:t>改善所需電容器之容量Q</w:t>
      </w:r>
      <w:r w:rsidRPr="00215D9C"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  <w:bdr w:val="none" w:sz="0" w:space="0" w:color="auto" w:frame="1"/>
          <w:vertAlign w:val="subscript"/>
        </w:rPr>
        <w:t>c</w:t>
      </w:r>
      <w:r w:rsidRPr="00215D9C"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  <w:bdr w:val="none" w:sz="0" w:space="0" w:color="auto" w:frame="1"/>
        </w:rPr>
        <w:t> ( KVAR ) ：</w:t>
      </w:r>
    </w:p>
    <w:p w:rsidR="00215D9C" w:rsidRPr="00215D9C" w:rsidRDefault="00215D9C" w:rsidP="00215D9C">
      <w:pPr>
        <w:widowControl/>
        <w:shd w:val="clear" w:color="auto" w:fill="FDFDFD"/>
        <w:ind w:left="600"/>
        <w:rPr>
          <w:rFonts w:ascii="微軟正黑體" w:eastAsia="微軟正黑體" w:hAnsi="微軟正黑體" w:cs="Times New Roman"/>
          <w:color w:val="000000"/>
          <w:kern w:val="0"/>
          <w:sz w:val="23"/>
          <w:szCs w:val="23"/>
        </w:rPr>
      </w:pPr>
      <w:r>
        <w:rPr>
          <w:rFonts w:ascii="微軟正黑體" w:eastAsia="微軟正黑體" w:hAnsi="微軟正黑體" w:cs="Times New Roman"/>
          <w:noProof/>
          <w:color w:val="000000"/>
          <w:kern w:val="0"/>
          <w:sz w:val="23"/>
          <w:szCs w:val="23"/>
          <w:bdr w:val="none" w:sz="0" w:space="0" w:color="auto" w:frame="1"/>
        </w:rPr>
        <w:drawing>
          <wp:inline distT="0" distB="0" distL="0" distR="0">
            <wp:extent cx="5966460" cy="274320"/>
            <wp:effectExtent l="0" t="0" r="0" b="0"/>
            <wp:docPr id="6" name="圖片 6" descr="http://power.lifebook.com.tw/Portals/90/images/Video/Load/S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wer.lifebook.com.tw/Portals/90/images/Video/Load/SC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D9C" w:rsidRPr="00215D9C" w:rsidRDefault="00215D9C" w:rsidP="00215D9C">
      <w:pPr>
        <w:widowControl/>
        <w:numPr>
          <w:ilvl w:val="0"/>
          <w:numId w:val="2"/>
        </w:numPr>
        <w:shd w:val="clear" w:color="auto" w:fill="FDFDFD"/>
        <w:spacing w:beforeAutospacing="1" w:afterAutospacing="1" w:line="405" w:lineRule="atLeast"/>
        <w:rPr>
          <w:rFonts w:ascii="微軟正黑體" w:eastAsia="微軟正黑體" w:hAnsi="微軟正黑體" w:cs="Times New Roman"/>
          <w:color w:val="000000"/>
          <w:kern w:val="0"/>
          <w:sz w:val="23"/>
          <w:szCs w:val="23"/>
        </w:rPr>
      </w:pPr>
      <w:r w:rsidRPr="00215D9C"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  <w:bdr w:val="none" w:sz="0" w:space="0" w:color="auto" w:frame="1"/>
        </w:rPr>
        <w:t>變壓器之無效功率損失</w:t>
      </w:r>
      <w:proofErr w:type="spellStart"/>
      <w:r w:rsidRPr="00215D9C"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  <w:bdr w:val="none" w:sz="0" w:space="0" w:color="auto" w:frame="1"/>
        </w:rPr>
        <w:t>Q</w:t>
      </w:r>
      <w:r w:rsidRPr="00215D9C"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  <w:bdr w:val="none" w:sz="0" w:space="0" w:color="auto" w:frame="1"/>
          <w:vertAlign w:val="subscript"/>
        </w:rPr>
        <w:t>tr</w:t>
      </w:r>
      <w:proofErr w:type="spellEnd"/>
      <w:r w:rsidRPr="00215D9C"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  <w:bdr w:val="none" w:sz="0" w:space="0" w:color="auto" w:frame="1"/>
        </w:rPr>
        <w:t> ( KVAR ) ：</w:t>
      </w:r>
    </w:p>
    <w:p w:rsidR="00215D9C" w:rsidRPr="00215D9C" w:rsidRDefault="00215D9C" w:rsidP="00215D9C">
      <w:pPr>
        <w:widowControl/>
        <w:shd w:val="clear" w:color="auto" w:fill="FDFDFD"/>
        <w:ind w:left="600"/>
        <w:rPr>
          <w:rFonts w:ascii="微軟正黑體" w:eastAsia="微軟正黑體" w:hAnsi="微軟正黑體" w:cs="Times New Roman"/>
          <w:color w:val="000000"/>
          <w:kern w:val="0"/>
          <w:sz w:val="23"/>
          <w:szCs w:val="23"/>
        </w:rPr>
      </w:pPr>
      <w:r>
        <w:rPr>
          <w:rFonts w:ascii="微軟正黑體" w:eastAsia="微軟正黑體" w:hAnsi="微軟正黑體" w:cs="Times New Roman"/>
          <w:noProof/>
          <w:color w:val="000000"/>
          <w:kern w:val="0"/>
          <w:sz w:val="23"/>
          <w:szCs w:val="23"/>
          <w:bdr w:val="none" w:sz="0" w:space="0" w:color="auto" w:frame="1"/>
        </w:rPr>
        <w:drawing>
          <wp:inline distT="0" distB="0" distL="0" distR="0">
            <wp:extent cx="6652260" cy="838200"/>
            <wp:effectExtent l="0" t="0" r="0" b="0"/>
            <wp:docPr id="5" name="圖片 5" descr="http://power.lifebook.com.tw/Portals/90/images/Video/Load/S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wer.lifebook.com.tw/Portals/90/images/Video/Load/SC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2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D9C" w:rsidRPr="00215D9C" w:rsidRDefault="00215D9C" w:rsidP="00215D9C">
      <w:pPr>
        <w:widowControl/>
        <w:numPr>
          <w:ilvl w:val="0"/>
          <w:numId w:val="3"/>
        </w:numPr>
        <w:shd w:val="clear" w:color="auto" w:fill="FDFDFD"/>
        <w:spacing w:beforeAutospacing="1" w:afterAutospacing="1" w:line="405" w:lineRule="atLeast"/>
        <w:rPr>
          <w:rFonts w:ascii="微軟正黑體" w:eastAsia="微軟正黑體" w:hAnsi="微軟正黑體" w:cs="Times New Roman"/>
          <w:color w:val="000000"/>
          <w:kern w:val="0"/>
          <w:sz w:val="23"/>
          <w:szCs w:val="23"/>
        </w:rPr>
      </w:pPr>
      <w:r w:rsidRPr="00215D9C"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  <w:bdr w:val="none" w:sz="0" w:space="0" w:color="auto" w:frame="1"/>
        </w:rPr>
        <w:t>變壓器一次</w:t>
      </w:r>
      <w:proofErr w:type="gramStart"/>
      <w:r w:rsidRPr="00215D9C"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  <w:bdr w:val="none" w:sz="0" w:space="0" w:color="auto" w:frame="1"/>
        </w:rPr>
        <w:t>側功因</w:t>
      </w:r>
      <w:proofErr w:type="gramEnd"/>
      <w:r w:rsidRPr="00215D9C"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  <w:bdr w:val="none" w:sz="0" w:space="0" w:color="auto" w:frame="1"/>
        </w:rPr>
        <w:t xml:space="preserve">改善所需電容器之容量 </w:t>
      </w:r>
      <w:proofErr w:type="spellStart"/>
      <w:r w:rsidRPr="00215D9C"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  <w:bdr w:val="none" w:sz="0" w:space="0" w:color="auto" w:frame="1"/>
        </w:rPr>
        <w:t>Q</w:t>
      </w:r>
      <w:r w:rsidRPr="00215D9C"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  <w:bdr w:val="none" w:sz="0" w:space="0" w:color="auto" w:frame="1"/>
          <w:vertAlign w:val="subscript"/>
        </w:rPr>
        <w:t>t</w:t>
      </w:r>
      <w:proofErr w:type="spellEnd"/>
      <w:r w:rsidRPr="00215D9C"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  <w:bdr w:val="none" w:sz="0" w:space="0" w:color="auto" w:frame="1"/>
        </w:rPr>
        <w:t> ( KVAR ) ：</w:t>
      </w:r>
    </w:p>
    <w:p w:rsidR="00215D9C" w:rsidRPr="00215D9C" w:rsidRDefault="00215D9C" w:rsidP="00215D9C">
      <w:pPr>
        <w:widowControl/>
        <w:shd w:val="clear" w:color="auto" w:fill="FDFDFD"/>
        <w:ind w:left="600"/>
        <w:rPr>
          <w:rFonts w:ascii="微軟正黑體" w:eastAsia="微軟正黑體" w:hAnsi="微軟正黑體" w:cs="Times New Roman"/>
          <w:color w:val="000000"/>
          <w:kern w:val="0"/>
          <w:sz w:val="23"/>
          <w:szCs w:val="23"/>
        </w:rPr>
      </w:pPr>
      <w:r>
        <w:rPr>
          <w:rFonts w:ascii="微軟正黑體" w:eastAsia="微軟正黑體" w:hAnsi="微軟正黑體" w:cs="Times New Roman"/>
          <w:noProof/>
          <w:color w:val="000000"/>
          <w:kern w:val="0"/>
          <w:sz w:val="23"/>
          <w:szCs w:val="23"/>
          <w:bdr w:val="none" w:sz="0" w:space="0" w:color="auto" w:frame="1"/>
        </w:rPr>
        <w:drawing>
          <wp:inline distT="0" distB="0" distL="0" distR="0">
            <wp:extent cx="5981700" cy="274320"/>
            <wp:effectExtent l="0" t="0" r="0" b="0"/>
            <wp:docPr id="4" name="圖片 4" descr="http://power.lifebook.com.tw/Portals/90/images/Video/Load/S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wer.lifebook.com.tw/Portals/90/images/Video/Load/SC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D9C" w:rsidRPr="00215D9C" w:rsidRDefault="00215D9C" w:rsidP="00215D9C">
      <w:pPr>
        <w:widowControl/>
        <w:numPr>
          <w:ilvl w:val="0"/>
          <w:numId w:val="4"/>
        </w:numPr>
        <w:shd w:val="clear" w:color="auto" w:fill="FDFDFD"/>
        <w:spacing w:beforeAutospacing="1" w:afterAutospacing="1" w:line="405" w:lineRule="atLeast"/>
        <w:rPr>
          <w:rFonts w:ascii="微軟正黑體" w:eastAsia="微軟正黑體" w:hAnsi="微軟正黑體" w:cs="Times New Roman"/>
          <w:color w:val="000000"/>
          <w:kern w:val="0"/>
          <w:sz w:val="23"/>
          <w:szCs w:val="23"/>
        </w:rPr>
      </w:pPr>
      <w:r w:rsidRPr="00215D9C"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  <w:bdr w:val="none" w:sz="0" w:space="0" w:color="auto" w:frame="1"/>
        </w:rPr>
        <w:t>電容器串接電抗器及容許電壓變動率 ± 10% 之耐電壓</w:t>
      </w:r>
      <w:proofErr w:type="spellStart"/>
      <w:r w:rsidRPr="00215D9C"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  <w:bdr w:val="none" w:sz="0" w:space="0" w:color="auto" w:frame="1"/>
        </w:rPr>
        <w:t>V</w:t>
      </w:r>
      <w:r w:rsidRPr="00215D9C"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  <w:bdr w:val="none" w:sz="0" w:space="0" w:color="auto" w:frame="1"/>
          <w:vertAlign w:val="subscript"/>
        </w:rPr>
        <w:t>c</w:t>
      </w:r>
      <w:proofErr w:type="spellEnd"/>
      <w:r w:rsidRPr="00215D9C"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  <w:bdr w:val="none" w:sz="0" w:space="0" w:color="auto" w:frame="1"/>
        </w:rPr>
        <w:t> ( V ) ：</w:t>
      </w:r>
    </w:p>
    <w:p w:rsidR="00215D9C" w:rsidRPr="00215D9C" w:rsidRDefault="00215D9C" w:rsidP="00215D9C">
      <w:pPr>
        <w:widowControl/>
        <w:shd w:val="clear" w:color="auto" w:fill="FDFDFD"/>
        <w:ind w:left="600"/>
        <w:rPr>
          <w:rFonts w:ascii="微軟正黑體" w:eastAsia="微軟正黑體" w:hAnsi="微軟正黑體" w:cs="Times New Roman"/>
          <w:color w:val="000000"/>
          <w:kern w:val="0"/>
          <w:sz w:val="23"/>
          <w:szCs w:val="23"/>
        </w:rPr>
      </w:pPr>
      <w:r>
        <w:rPr>
          <w:rFonts w:ascii="微軟正黑體" w:eastAsia="微軟正黑體" w:hAnsi="微軟正黑體" w:cs="Times New Roman"/>
          <w:noProof/>
          <w:color w:val="000000"/>
          <w:kern w:val="0"/>
          <w:sz w:val="23"/>
          <w:szCs w:val="23"/>
          <w:bdr w:val="none" w:sz="0" w:space="0" w:color="auto" w:frame="1"/>
        </w:rPr>
        <w:drawing>
          <wp:inline distT="0" distB="0" distL="0" distR="0">
            <wp:extent cx="1714500" cy="449580"/>
            <wp:effectExtent l="0" t="0" r="0" b="7620"/>
            <wp:docPr id="3" name="圖片 3" descr="http://power.lifebook.com.tw/Portals/90/images/Video/Load/SC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wer.lifebook.com.tw/Portals/90/images/Video/Load/SC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D9C" w:rsidRPr="00215D9C" w:rsidRDefault="00215D9C" w:rsidP="00215D9C">
      <w:pPr>
        <w:widowControl/>
        <w:shd w:val="clear" w:color="auto" w:fill="FDFDFD"/>
        <w:ind w:left="600"/>
        <w:rPr>
          <w:rFonts w:ascii="微軟正黑體" w:eastAsia="微軟正黑體" w:hAnsi="微軟正黑體" w:cs="Times New Roman"/>
          <w:color w:val="000000"/>
          <w:kern w:val="0"/>
          <w:sz w:val="23"/>
          <w:szCs w:val="23"/>
        </w:rPr>
      </w:pPr>
      <w:r w:rsidRPr="00215D9C"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</w:rPr>
        <w:t> </w:t>
      </w:r>
    </w:p>
    <w:p w:rsidR="00215D9C" w:rsidRPr="00215D9C" w:rsidRDefault="00215D9C" w:rsidP="00215D9C">
      <w:pPr>
        <w:widowControl/>
        <w:shd w:val="clear" w:color="auto" w:fill="FDFDFD"/>
        <w:rPr>
          <w:rFonts w:ascii="微軟正黑體" w:eastAsia="微軟正黑體" w:hAnsi="微軟正黑體" w:cs="Times New Roman"/>
          <w:color w:val="000000"/>
          <w:kern w:val="0"/>
          <w:sz w:val="23"/>
          <w:szCs w:val="23"/>
        </w:rPr>
      </w:pPr>
      <w:r w:rsidRPr="00215D9C">
        <w:rPr>
          <w:rFonts w:ascii="微軟正黑體" w:eastAsia="微軟正黑體" w:hAnsi="微軟正黑體" w:cs="Times New Roman" w:hint="eastAsia"/>
          <w:b/>
          <w:bCs/>
          <w:color w:val="FF0000"/>
          <w:kern w:val="0"/>
          <w:sz w:val="27"/>
          <w:szCs w:val="27"/>
          <w:bdr w:val="none" w:sz="0" w:space="0" w:color="auto" w:frame="1"/>
          <w:shd w:val="clear" w:color="auto" w:fill="FFFF00"/>
        </w:rPr>
        <w:t>【功率因數檢討 操作步驟】</w:t>
      </w:r>
    </w:p>
    <w:p w:rsidR="00215D9C" w:rsidRPr="00215D9C" w:rsidRDefault="00215D9C" w:rsidP="00215D9C">
      <w:pPr>
        <w:widowControl/>
        <w:shd w:val="clear" w:color="auto" w:fill="FDFDFD"/>
        <w:rPr>
          <w:rFonts w:ascii="微軟正黑體" w:eastAsia="微軟正黑體" w:hAnsi="微軟正黑體" w:cs="Times New Roman"/>
          <w:color w:val="000000"/>
          <w:kern w:val="0"/>
          <w:sz w:val="23"/>
          <w:szCs w:val="23"/>
        </w:rPr>
      </w:pPr>
      <w:r w:rsidRPr="00215D9C"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</w:rPr>
        <w:t> </w:t>
      </w:r>
    </w:p>
    <w:p w:rsidR="00215D9C" w:rsidRPr="00215D9C" w:rsidRDefault="00215D9C" w:rsidP="00215D9C">
      <w:pPr>
        <w:widowControl/>
        <w:shd w:val="clear" w:color="auto" w:fill="FDFDFD"/>
        <w:rPr>
          <w:rFonts w:ascii="微軟正黑體" w:eastAsia="微軟正黑體" w:hAnsi="微軟正黑體" w:cs="Times New Roman"/>
          <w:color w:val="000000"/>
          <w:kern w:val="0"/>
          <w:sz w:val="23"/>
          <w:szCs w:val="23"/>
        </w:rPr>
      </w:pPr>
      <w:proofErr w:type="gramStart"/>
      <w:r w:rsidRPr="00215D9C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 w:val="23"/>
          <w:szCs w:val="23"/>
          <w:bdr w:val="none" w:sz="0" w:space="0" w:color="auto" w:frame="1"/>
        </w:rPr>
        <w:t>主盤</w:t>
      </w:r>
      <w:proofErr w:type="gramEnd"/>
      <w:r w:rsidRPr="00215D9C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 w:val="23"/>
          <w:szCs w:val="23"/>
          <w:bdr w:val="none" w:sz="0" w:space="0" w:color="auto" w:frame="1"/>
        </w:rPr>
        <w:t>F-PA之系統電壓為380 V，設備容量為489.82 KVA = 401.64 KW + j 280.37 KVAR，</w:t>
      </w:r>
      <w:proofErr w:type="gramStart"/>
      <w:r w:rsidRPr="00215D9C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 w:val="23"/>
          <w:szCs w:val="23"/>
          <w:bdr w:val="none" w:sz="0" w:space="0" w:color="auto" w:frame="1"/>
        </w:rPr>
        <w:t>改善前功因為</w:t>
      </w:r>
      <w:proofErr w:type="gramEnd"/>
      <w:r w:rsidRPr="00215D9C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 w:val="23"/>
          <w:szCs w:val="23"/>
          <w:bdr w:val="none" w:sz="0" w:space="0" w:color="auto" w:frame="1"/>
        </w:rPr>
        <w:t>0.82。當提高至0.95時，所需電容器容量為148.33 KVAR。</w:t>
      </w:r>
    </w:p>
    <w:p w:rsidR="00215D9C" w:rsidRPr="00215D9C" w:rsidRDefault="00215D9C" w:rsidP="00215D9C">
      <w:pPr>
        <w:widowControl/>
        <w:shd w:val="clear" w:color="auto" w:fill="FDFDFD"/>
        <w:rPr>
          <w:rFonts w:ascii="微軟正黑體" w:eastAsia="微軟正黑體" w:hAnsi="微軟正黑體" w:cs="Times New Roman"/>
          <w:color w:val="000000"/>
          <w:kern w:val="0"/>
          <w:sz w:val="23"/>
          <w:szCs w:val="23"/>
        </w:rPr>
      </w:pPr>
      <w:r w:rsidRPr="00215D9C"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</w:rPr>
        <w:t> </w:t>
      </w:r>
    </w:p>
    <w:p w:rsidR="00215D9C" w:rsidRPr="00215D9C" w:rsidRDefault="00215D9C" w:rsidP="00215D9C">
      <w:pPr>
        <w:widowControl/>
        <w:shd w:val="clear" w:color="auto" w:fill="FDFDFD"/>
        <w:rPr>
          <w:rFonts w:ascii="微軟正黑體" w:eastAsia="微軟正黑體" w:hAnsi="微軟正黑體" w:cs="Times New Roman"/>
          <w:color w:val="000000"/>
          <w:kern w:val="0"/>
          <w:sz w:val="23"/>
          <w:szCs w:val="23"/>
        </w:rPr>
      </w:pPr>
      <w:r w:rsidRPr="00215D9C">
        <w:rPr>
          <w:rFonts w:ascii="微軟正黑體" w:eastAsia="微軟正黑體" w:hAnsi="微軟正黑體" w:cs="Times New Roman" w:hint="eastAsia"/>
          <w:b/>
          <w:bCs/>
          <w:color w:val="0000FF"/>
          <w:kern w:val="0"/>
          <w:sz w:val="23"/>
          <w:szCs w:val="23"/>
          <w:bdr w:val="none" w:sz="0" w:space="0" w:color="auto" w:frame="1"/>
        </w:rPr>
        <w:t>注意：在並聯電容器之前，若有需要，請先設定主盤的需量。</w:t>
      </w:r>
    </w:p>
    <w:p w:rsidR="00215D9C" w:rsidRPr="00215D9C" w:rsidRDefault="00215D9C" w:rsidP="00215D9C">
      <w:pPr>
        <w:widowControl/>
        <w:numPr>
          <w:ilvl w:val="0"/>
          <w:numId w:val="5"/>
        </w:numPr>
        <w:shd w:val="clear" w:color="auto" w:fill="FDFDFD"/>
        <w:spacing w:beforeAutospacing="1" w:afterAutospacing="1" w:line="405" w:lineRule="atLeast"/>
        <w:rPr>
          <w:rFonts w:ascii="微軟正黑體" w:eastAsia="微軟正黑體" w:hAnsi="微軟正黑體" w:cs="Times New Roman"/>
          <w:color w:val="000000"/>
          <w:kern w:val="0"/>
          <w:sz w:val="23"/>
          <w:szCs w:val="23"/>
        </w:rPr>
      </w:pPr>
      <w:r w:rsidRPr="00215D9C"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</w:rPr>
        <w:lastRenderedPageBreak/>
        <w:t>新增「電容器」迴路，採用MCCB斷路器，控制開關MC + SR，因電容器在盤內，配管型式改成「無」〈空氣中〉，XLPE電纜，長度為「1」。</w:t>
      </w:r>
      <w:r w:rsidRPr="00215D9C"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</w:rPr>
        <w:br/>
      </w:r>
      <w:r w:rsidRPr="00215D9C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 w:val="23"/>
          <w:szCs w:val="23"/>
          <w:bdr w:val="none" w:sz="0" w:space="0" w:color="auto" w:frame="1"/>
        </w:rPr>
        <w:t>請使用【電容器容量試算】和【電容器電感試算】，試算電容器之耐壓、段數及每段容量KVAR？</w:t>
      </w:r>
    </w:p>
    <w:p w:rsidR="00215D9C" w:rsidRPr="00215D9C" w:rsidRDefault="00215D9C" w:rsidP="00215D9C">
      <w:pPr>
        <w:widowControl/>
        <w:numPr>
          <w:ilvl w:val="1"/>
          <w:numId w:val="6"/>
        </w:numPr>
        <w:shd w:val="clear" w:color="auto" w:fill="FDFDFD"/>
        <w:spacing w:beforeAutospacing="1" w:afterAutospacing="1" w:line="405" w:lineRule="atLeast"/>
        <w:ind w:left="1440" w:hanging="360"/>
        <w:rPr>
          <w:rFonts w:ascii="微軟正黑體" w:eastAsia="微軟正黑體" w:hAnsi="微軟正黑體" w:cs="Times New Roman"/>
          <w:color w:val="000000"/>
          <w:kern w:val="0"/>
          <w:sz w:val="23"/>
          <w:szCs w:val="23"/>
        </w:rPr>
      </w:pPr>
      <w:r w:rsidRPr="00215D9C"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</w:rPr>
        <w:t>電容器容量試算</w:t>
      </w:r>
      <w:r w:rsidRPr="00215D9C"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</w:rPr>
        <w:br/>
      </w:r>
      <w:r w:rsidRPr="00215D9C"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  <w:bdr w:val="none" w:sz="0" w:space="0" w:color="auto" w:frame="1"/>
        </w:rPr>
        <w:t>考慮變壓器之無效功率損失和負載盤之設備容量，計算提高功因至Pf＝0.95，在不同的耐壓時，所需的電容器容量清單。</w:t>
      </w:r>
      <w:r w:rsidRPr="00215D9C"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  <w:bdr w:val="none" w:sz="0" w:space="0" w:color="auto" w:frame="1"/>
        </w:rPr>
        <w:br/>
      </w:r>
      <w:r>
        <w:rPr>
          <w:rFonts w:ascii="微軟正黑體" w:eastAsia="微軟正黑體" w:hAnsi="微軟正黑體" w:cs="Times New Roman"/>
          <w:noProof/>
          <w:color w:val="000000"/>
          <w:kern w:val="0"/>
          <w:sz w:val="23"/>
          <w:szCs w:val="23"/>
          <w:bdr w:val="none" w:sz="0" w:space="0" w:color="auto" w:frame="1"/>
        </w:rPr>
        <w:drawing>
          <wp:inline distT="0" distB="0" distL="0" distR="0">
            <wp:extent cx="5788565" cy="5021580"/>
            <wp:effectExtent l="0" t="0" r="3175" b="7620"/>
            <wp:docPr id="2" name="圖片 2" descr="http://power.lifebook.com.tw/Portals/90/images/Video/Load/S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wer.lifebook.com.tw/Portals/90/images/Video/Load/SC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565" cy="502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5D9C"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  <w:bdr w:val="none" w:sz="0" w:space="0" w:color="auto" w:frame="1"/>
        </w:rPr>
        <w:t> </w:t>
      </w:r>
      <w:r w:rsidRPr="00215D9C"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  <w:bdr w:val="none" w:sz="0" w:space="0" w:color="auto" w:frame="1"/>
        </w:rPr>
        <w:br/>
        <w:t>一般而言380 V系統，電容器耐壓選擇 </w:t>
      </w:r>
      <w:r w:rsidRPr="00215D9C">
        <w:rPr>
          <w:rFonts w:ascii="微軟正黑體" w:eastAsia="微軟正黑體" w:hAnsi="微軟正黑體" w:cs="Times New Roman" w:hint="eastAsia"/>
          <w:b/>
          <w:bCs/>
          <w:color w:val="FF0000"/>
          <w:kern w:val="0"/>
          <w:sz w:val="23"/>
          <w:szCs w:val="23"/>
          <w:u w:val="single"/>
          <w:bdr w:val="none" w:sz="0" w:space="0" w:color="auto" w:frame="1"/>
        </w:rPr>
        <w:t>480</w:t>
      </w:r>
      <w:r w:rsidRPr="00215D9C"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  <w:bdr w:val="none" w:sz="0" w:space="0" w:color="auto" w:frame="1"/>
        </w:rPr>
        <w:t> V，採6段時，每段為39.45 KVAR，可選擇 40、45 或 </w:t>
      </w:r>
      <w:r w:rsidRPr="00215D9C">
        <w:rPr>
          <w:rFonts w:ascii="微軟正黑體" w:eastAsia="微軟正黑體" w:hAnsi="微軟正黑體" w:cs="Times New Roman" w:hint="eastAsia"/>
          <w:b/>
          <w:bCs/>
          <w:color w:val="FF0000"/>
          <w:kern w:val="0"/>
          <w:sz w:val="23"/>
          <w:szCs w:val="23"/>
          <w:u w:val="single"/>
          <w:bdr w:val="none" w:sz="0" w:space="0" w:color="auto" w:frame="1"/>
        </w:rPr>
        <w:t>50</w:t>
      </w:r>
      <w:r w:rsidRPr="00215D9C"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  <w:bdr w:val="none" w:sz="0" w:space="0" w:color="auto" w:frame="1"/>
        </w:rPr>
        <w:t> KVAR。</w:t>
      </w:r>
    </w:p>
    <w:p w:rsidR="00215D9C" w:rsidRPr="00215D9C" w:rsidRDefault="00215D9C" w:rsidP="00215D9C">
      <w:pPr>
        <w:widowControl/>
        <w:numPr>
          <w:ilvl w:val="1"/>
          <w:numId w:val="6"/>
        </w:numPr>
        <w:shd w:val="clear" w:color="auto" w:fill="FDFDFD"/>
        <w:spacing w:before="100" w:beforeAutospacing="1" w:after="100" w:afterAutospacing="1" w:line="405" w:lineRule="atLeast"/>
        <w:ind w:left="1440" w:hanging="360"/>
        <w:rPr>
          <w:rFonts w:ascii="微軟正黑體" w:eastAsia="微軟正黑體" w:hAnsi="微軟正黑體" w:cs="Times New Roman"/>
          <w:color w:val="000000"/>
          <w:kern w:val="0"/>
          <w:sz w:val="23"/>
          <w:szCs w:val="23"/>
        </w:rPr>
      </w:pPr>
      <w:r w:rsidRPr="00215D9C"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</w:rPr>
        <w:lastRenderedPageBreak/>
        <w:t>電容器電感試算</w:t>
      </w:r>
      <w:r w:rsidRPr="00215D9C"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</w:rPr>
        <w:br/>
      </w:r>
      <w:r>
        <w:rPr>
          <w:rFonts w:ascii="微軟正黑體" w:eastAsia="微軟正黑體" w:hAnsi="微軟正黑體" w:cs="Times New Roman"/>
          <w:noProof/>
          <w:color w:val="000000"/>
          <w:kern w:val="0"/>
          <w:sz w:val="23"/>
          <w:szCs w:val="23"/>
        </w:rPr>
        <w:drawing>
          <wp:inline distT="0" distB="0" distL="0" distR="0">
            <wp:extent cx="4000500" cy="3604260"/>
            <wp:effectExtent l="0" t="0" r="0" b="0"/>
            <wp:docPr id="1" name="圖片 1" descr="http://power.lifebook.com.tw/Portals/90/images/Video/Load/S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ower.lifebook.com.tw/Portals/90/images/Video/Load/SC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5D9C"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</w:rPr>
        <w:t> </w:t>
      </w:r>
      <w:r w:rsidRPr="00215D9C"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</w:rPr>
        <w:br/>
        <w:t>電容器一次側採串接 + 6% 電抗器 SR後 ，計算電壓壓昇並乘上台電容許之電壓變動率 10 %，建議採用 444.68 V以上</w:t>
      </w:r>
    </w:p>
    <w:p w:rsidR="00215D9C" w:rsidRPr="00215D9C" w:rsidRDefault="00215D9C" w:rsidP="00215D9C">
      <w:pPr>
        <w:widowControl/>
        <w:numPr>
          <w:ilvl w:val="1"/>
          <w:numId w:val="6"/>
        </w:numPr>
        <w:shd w:val="clear" w:color="auto" w:fill="FDFDFD"/>
        <w:spacing w:beforeAutospacing="1" w:afterAutospacing="1" w:line="405" w:lineRule="atLeast"/>
        <w:ind w:left="1440" w:hanging="360"/>
        <w:rPr>
          <w:rFonts w:ascii="微軟正黑體" w:eastAsia="微軟正黑體" w:hAnsi="微軟正黑體" w:cs="Times New Roman"/>
          <w:color w:val="000000"/>
          <w:kern w:val="0"/>
          <w:sz w:val="23"/>
          <w:szCs w:val="23"/>
        </w:rPr>
      </w:pPr>
      <w:r w:rsidRPr="00215D9C">
        <w:rPr>
          <w:rFonts w:ascii="微軟正黑體" w:eastAsia="微軟正黑體" w:hAnsi="微軟正黑體" w:cs="Times New Roman" w:hint="eastAsia"/>
          <w:b/>
          <w:bCs/>
          <w:color w:val="0000FF"/>
          <w:kern w:val="0"/>
          <w:sz w:val="23"/>
          <w:szCs w:val="23"/>
          <w:bdr w:val="none" w:sz="0" w:space="0" w:color="auto" w:frame="1"/>
        </w:rPr>
        <w:t>故實際安裝480 V，每段50 KVAR，共 6 段 &lt;&lt; OK</w:t>
      </w:r>
    </w:p>
    <w:p w:rsidR="00215D9C" w:rsidRPr="00215D9C" w:rsidRDefault="00215D9C" w:rsidP="00215D9C">
      <w:pPr>
        <w:widowControl/>
        <w:numPr>
          <w:ilvl w:val="0"/>
          <w:numId w:val="6"/>
        </w:numPr>
        <w:shd w:val="clear" w:color="auto" w:fill="FDFDFD"/>
        <w:spacing w:beforeAutospacing="1" w:afterAutospacing="1" w:line="405" w:lineRule="atLeast"/>
        <w:rPr>
          <w:rFonts w:ascii="微軟正黑體" w:eastAsia="微軟正黑體" w:hAnsi="微軟正黑體" w:cs="Times New Roman"/>
          <w:color w:val="000000"/>
          <w:kern w:val="0"/>
          <w:sz w:val="23"/>
          <w:szCs w:val="23"/>
        </w:rPr>
      </w:pPr>
      <w:r w:rsidRPr="00215D9C"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  <w:bdr w:val="none" w:sz="0" w:space="0" w:color="auto" w:frame="1"/>
        </w:rPr>
        <w:t>連續【複製並往後貼上】增加其他5段</w:t>
      </w:r>
    </w:p>
    <w:p w:rsidR="00215D9C" w:rsidRPr="00215D9C" w:rsidRDefault="00215D9C" w:rsidP="00215D9C">
      <w:pPr>
        <w:widowControl/>
        <w:numPr>
          <w:ilvl w:val="0"/>
          <w:numId w:val="6"/>
        </w:numPr>
        <w:shd w:val="clear" w:color="auto" w:fill="FDFDFD"/>
        <w:spacing w:beforeAutospacing="1" w:afterAutospacing="1" w:line="405" w:lineRule="atLeast"/>
        <w:rPr>
          <w:rFonts w:ascii="微軟正黑體" w:eastAsia="微軟正黑體" w:hAnsi="微軟正黑體" w:cs="Times New Roman"/>
          <w:color w:val="000000"/>
          <w:kern w:val="0"/>
          <w:sz w:val="23"/>
          <w:szCs w:val="23"/>
        </w:rPr>
      </w:pPr>
      <w:r w:rsidRPr="00215D9C"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  <w:bdr w:val="none" w:sz="0" w:space="0" w:color="auto" w:frame="1"/>
        </w:rPr>
        <w:t>避免功率因數調整器APFR頻繁的處在投入及切離動作，將第一段電容器容設量改為原來的1/2，即25 KVAR。</w:t>
      </w:r>
    </w:p>
    <w:p w:rsidR="00215D9C" w:rsidRPr="00215D9C" w:rsidRDefault="00215D9C" w:rsidP="00215D9C">
      <w:pPr>
        <w:widowControl/>
        <w:numPr>
          <w:ilvl w:val="0"/>
          <w:numId w:val="6"/>
        </w:numPr>
        <w:shd w:val="clear" w:color="auto" w:fill="FDFDFD"/>
        <w:spacing w:beforeAutospacing="1" w:afterAutospacing="1" w:line="405" w:lineRule="atLeast"/>
        <w:rPr>
          <w:rFonts w:ascii="微軟正黑體" w:eastAsia="微軟正黑體" w:hAnsi="微軟正黑體" w:cs="Times New Roman"/>
          <w:color w:val="000000"/>
          <w:kern w:val="0"/>
          <w:sz w:val="23"/>
          <w:szCs w:val="23"/>
        </w:rPr>
      </w:pPr>
      <w:r w:rsidRPr="00215D9C"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  <w:bdr w:val="none" w:sz="0" w:space="0" w:color="auto" w:frame="1"/>
        </w:rPr>
        <w:t>檢視功率因數檢討報表。</w:t>
      </w:r>
    </w:p>
    <w:p w:rsidR="00215D9C" w:rsidRPr="00215D9C" w:rsidRDefault="00215D9C" w:rsidP="00215D9C">
      <w:pPr>
        <w:widowControl/>
        <w:numPr>
          <w:ilvl w:val="0"/>
          <w:numId w:val="6"/>
        </w:numPr>
        <w:shd w:val="clear" w:color="auto" w:fill="FDFDFD"/>
        <w:spacing w:beforeAutospacing="1" w:afterAutospacing="1" w:line="405" w:lineRule="atLeast"/>
        <w:rPr>
          <w:rFonts w:ascii="微軟正黑體" w:eastAsia="微軟正黑體" w:hAnsi="微軟正黑體" w:cs="Times New Roman"/>
          <w:color w:val="000000"/>
          <w:kern w:val="0"/>
          <w:sz w:val="23"/>
          <w:szCs w:val="23"/>
        </w:rPr>
      </w:pPr>
      <w:r w:rsidRPr="00215D9C"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  <w:bdr w:val="none" w:sz="0" w:space="0" w:color="auto" w:frame="1"/>
        </w:rPr>
        <w:t>檢視低壓單線圖。</w:t>
      </w:r>
    </w:p>
    <w:p w:rsidR="00215D9C" w:rsidRPr="00215D9C" w:rsidRDefault="00215D9C" w:rsidP="00215D9C">
      <w:pPr>
        <w:widowControl/>
        <w:numPr>
          <w:ilvl w:val="0"/>
          <w:numId w:val="6"/>
        </w:numPr>
        <w:shd w:val="clear" w:color="auto" w:fill="FDFDFD"/>
        <w:spacing w:beforeAutospacing="1" w:afterAutospacing="1" w:line="405" w:lineRule="atLeast"/>
        <w:rPr>
          <w:rFonts w:ascii="微軟正黑體" w:eastAsia="微軟正黑體" w:hAnsi="微軟正黑體" w:cs="Times New Roman"/>
          <w:color w:val="000000"/>
          <w:kern w:val="0"/>
          <w:sz w:val="23"/>
          <w:szCs w:val="23"/>
        </w:rPr>
      </w:pPr>
      <w:r w:rsidRPr="00215D9C">
        <w:rPr>
          <w:rFonts w:ascii="微軟正黑體" w:eastAsia="微軟正黑體" w:hAnsi="微軟正黑體" w:cs="Times New Roman" w:hint="eastAsia"/>
          <w:color w:val="000000"/>
          <w:kern w:val="0"/>
          <w:sz w:val="23"/>
          <w:szCs w:val="23"/>
          <w:bdr w:val="none" w:sz="0" w:space="0" w:color="auto" w:frame="1"/>
        </w:rPr>
        <w:t>檢視工程標單。</w:t>
      </w:r>
    </w:p>
    <w:p w:rsidR="00241D1B" w:rsidRDefault="00C12BBF">
      <w:hyperlink r:id="rId12" w:history="1">
        <w:r w:rsidRPr="00C12BBF">
          <w:rPr>
            <w:rStyle w:val="a6"/>
          </w:rPr>
          <w:t>https://youtu.be/mo9k2W93Grw</w:t>
        </w:r>
      </w:hyperlink>
      <w:bookmarkStart w:id="0" w:name="_GoBack"/>
      <w:bookmarkEnd w:id="0"/>
    </w:p>
    <w:sectPr w:rsidR="00241D1B" w:rsidSect="00282E9C">
      <w:pgSz w:w="11906" w:h="16838"/>
      <w:pgMar w:top="567" w:right="567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1281"/>
    <w:multiLevelType w:val="multilevel"/>
    <w:tmpl w:val="3834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2B56A6"/>
    <w:multiLevelType w:val="multilevel"/>
    <w:tmpl w:val="A6AA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86450D"/>
    <w:multiLevelType w:val="multilevel"/>
    <w:tmpl w:val="A8A2C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A736FD"/>
    <w:multiLevelType w:val="multilevel"/>
    <w:tmpl w:val="66FA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ED7199"/>
    <w:multiLevelType w:val="multilevel"/>
    <w:tmpl w:val="82FA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</w:num>
  <w:num w:numId="6">
    <w:abstractNumId w:val="2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9C"/>
    <w:rsid w:val="00215D9C"/>
    <w:rsid w:val="00241D1B"/>
    <w:rsid w:val="00282E9C"/>
    <w:rsid w:val="00544C54"/>
    <w:rsid w:val="00A16A50"/>
    <w:rsid w:val="00A320AA"/>
    <w:rsid w:val="00C1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15D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Strong"/>
    <w:basedOn w:val="a0"/>
    <w:uiPriority w:val="22"/>
    <w:qFormat/>
    <w:rsid w:val="00215D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15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15D9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12B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15D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Strong"/>
    <w:basedOn w:val="a0"/>
    <w:uiPriority w:val="22"/>
    <w:qFormat/>
    <w:rsid w:val="00215D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15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15D9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12B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hyperlink" Target="https://youtu.be/mo9k2W93Gr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BSO</dc:creator>
  <cp:lastModifiedBy>BSO</cp:lastModifiedBy>
  <cp:revision>3</cp:revision>
  <dcterms:created xsi:type="dcterms:W3CDTF">2018-05-01T13:44:00Z</dcterms:created>
  <dcterms:modified xsi:type="dcterms:W3CDTF">2018-05-01T13:46:00Z</dcterms:modified>
</cp:coreProperties>
</file>